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B" w:rsidRDefault="0091523B" w:rsidP="00140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задаваемые </w:t>
      </w:r>
      <w:r w:rsidR="00140B3B">
        <w:rPr>
          <w:rFonts w:ascii="Times New Roman" w:hAnsi="Times New Roman" w:cs="Times New Roman"/>
          <w:b/>
          <w:sz w:val="28"/>
          <w:szCs w:val="28"/>
        </w:rPr>
        <w:t>государственными гражданскими служащими Северо-Кавказстата,</w:t>
      </w:r>
    </w:p>
    <w:p w:rsidR="0091523B" w:rsidRDefault="0091523B" w:rsidP="00140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tbl>
      <w:tblPr>
        <w:tblStyle w:val="a3"/>
        <w:tblW w:w="15452" w:type="dxa"/>
        <w:tblInd w:w="-318" w:type="dxa"/>
        <w:tblLook w:val="04A0"/>
      </w:tblPr>
      <w:tblGrid>
        <w:gridCol w:w="683"/>
        <w:gridCol w:w="7122"/>
        <w:gridCol w:w="7647"/>
      </w:tblGrid>
      <w:tr w:rsidR="0091523B" w:rsidTr="003E04DB">
        <w:tc>
          <w:tcPr>
            <w:tcW w:w="683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7122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647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1523B" w:rsidP="002F399C">
            <w:pPr>
              <w:pStyle w:val="1"/>
              <w:ind w:firstLine="494"/>
              <w:rPr>
                <w:noProof/>
              </w:rPr>
            </w:pPr>
            <w:r>
              <w:rPr>
                <w:noProof/>
              </w:rPr>
              <w:t xml:space="preserve">Все ли уведомления государственных гражданских служащих о намерении выполнять иную оплачиваемую работу должны быть предметом рассмотрения Комиссии </w:t>
            </w:r>
            <w:r w:rsidR="002F399C">
              <w:rPr>
                <w:noProof/>
              </w:rPr>
              <w:t>по соблюдению требований к служебному поведению федеральных государственных гражданских служащих Северо-Кавказстата и урегулированию конфликта интересов</w:t>
            </w:r>
            <w:r>
              <w:rPr>
                <w:noProof/>
              </w:rPr>
              <w:t>? Либо руководитель, усмотрев очевидное отсутствие возможности конфликта интересов, вправе не передавать уведомление служащего на рассмотрение Комиссии?</w:t>
            </w:r>
          </w:p>
        </w:tc>
        <w:tc>
          <w:tcPr>
            <w:tcW w:w="7647" w:type="dxa"/>
          </w:tcPr>
          <w:p w:rsidR="003C05B3" w:rsidRPr="00D40D35" w:rsidRDefault="003C05B3" w:rsidP="002F399C">
            <w:pPr>
              <w:pStyle w:val="1"/>
              <w:spacing w:before="0"/>
              <w:ind w:firstLine="709"/>
              <w:rPr>
                <w:bCs/>
              </w:rPr>
            </w:pPr>
            <w:r w:rsidRPr="00D40D35">
              <w:rPr>
                <w:bCs/>
              </w:rPr>
              <w:t xml:space="preserve">В соответствии с </w:t>
            </w:r>
            <w:hyperlink r:id="rId7" w:history="1">
              <w:r w:rsidRPr="00D40D35">
                <w:rPr>
                  <w:bCs/>
                </w:rPr>
                <w:t>частью 2 статьи 14</w:t>
              </w:r>
            </w:hyperlink>
            <w:r w:rsidRPr="00D40D35">
              <w:rPr>
                <w:bCs/>
              </w:rPr>
              <w:t xml:space="preserve"> Федерального закона от 27 июля 2004 г. № 79-ФЗ «О государственной гражданской службе Российской Федерации» </w:t>
            </w:r>
            <w:r w:rsidR="002F399C">
              <w:rPr>
                <w:bCs/>
              </w:rPr>
              <w:t xml:space="preserve">(далее – </w:t>
            </w:r>
            <w:r w:rsidR="002F399C" w:rsidRPr="00D40D35">
              <w:t>Федеральны</w:t>
            </w:r>
            <w:r w:rsidR="002F399C">
              <w:t>й</w:t>
            </w:r>
            <w:r w:rsidR="002F399C" w:rsidRPr="00D40D35">
              <w:t xml:space="preserve"> </w:t>
            </w:r>
            <w:hyperlink r:id="rId8" w:history="1">
              <w:r w:rsidR="002F399C" w:rsidRPr="00D40D35">
                <w:t>закон</w:t>
              </w:r>
            </w:hyperlink>
            <w:r w:rsidR="002F399C">
              <w:rPr>
                <w:bCs/>
              </w:rPr>
              <w:t xml:space="preserve">) </w:t>
            </w:r>
            <w:r w:rsidRPr="00D40D35">
              <w:rPr>
                <w:bCs/>
              </w:rPr>
              <w:t xml:space="preserve">федеральные государственные гражданские служащие территориальных органов </w:t>
            </w:r>
            <w:r w:rsidR="002F399C" w:rsidRPr="00D40D35">
              <w:rPr>
                <w:bCs/>
              </w:rPr>
              <w:t xml:space="preserve">Федеральной службы государственной статистики </w:t>
            </w:r>
            <w:r w:rsidRPr="00D40D35">
              <w:rPr>
                <w:bCs/>
              </w:rPr>
              <w:t xml:space="preserve">(далее - гражданский служащий) </w:t>
            </w:r>
            <w:r w:rsidRPr="00D40D35">
              <w:rPr>
                <w:b/>
                <w:bCs/>
              </w:rPr>
              <w:t>вправе</w:t>
            </w:r>
            <w:r w:rsidRPr="00D40D35">
              <w:rPr>
                <w:bCs/>
              </w:rPr>
              <w:t xml:space="preserve"> с предварительным уведомлением руководителя территориального органа Росстата (далее - представитель нанимателя) выполнять иную оплачиваемую работу, если это не повлечет за собой конфликт интересов. </w:t>
            </w:r>
          </w:p>
          <w:p w:rsidR="0091523B" w:rsidRDefault="003C05B3" w:rsidP="002F399C">
            <w:pPr>
              <w:pStyle w:val="1"/>
              <w:spacing w:before="0" w:after="240"/>
              <w:ind w:firstLine="709"/>
            </w:pPr>
            <w:r w:rsidRPr="00D40D35">
              <w:t xml:space="preserve">Представитель нанимателя, получив уведомление гражданского служащего, может </w:t>
            </w:r>
            <w:r>
              <w:t xml:space="preserve">не </w:t>
            </w:r>
            <w:r w:rsidRPr="00D40D35">
              <w:t xml:space="preserve">усмотреть в иной работе </w:t>
            </w:r>
            <w:r>
              <w:t>конфликт интересов.</w:t>
            </w:r>
            <w:r w:rsidRPr="00D40D35">
              <w:t xml:space="preserve"> В этом случае</w:t>
            </w:r>
            <w:r w:rsidR="00140B3B">
              <w:t xml:space="preserve"> </w:t>
            </w:r>
            <w:r>
              <w:rPr>
                <w:noProof/>
              </w:rPr>
              <w:t>уведомление</w:t>
            </w:r>
            <w:r w:rsidR="004D61E2">
              <w:rPr>
                <w:noProof/>
              </w:rPr>
              <w:t xml:space="preserve"> без рассмотрения на комиссии по соблюдению требований к служебному поведению и урегулипрованию конфликта интересов</w:t>
            </w:r>
            <w:r w:rsidR="00140B3B">
              <w:rPr>
                <w:noProof/>
              </w:rPr>
              <w:t xml:space="preserve"> </w:t>
            </w:r>
            <w:r w:rsidRPr="00D40D35">
              <w:rPr>
                <w:noProof/>
              </w:rPr>
              <w:t xml:space="preserve">регистрируется в соответствющем Журнале, оригинал уведомления приобщается к личному делу гражданского служащего, а копия выдается ему на руки.  </w:t>
            </w:r>
            <w:r w:rsidRPr="00D40D35">
              <w:t xml:space="preserve">Также представитель нанимателя имеет право принимать все меры воздействия, предусмотренные Федеральным </w:t>
            </w:r>
            <w:hyperlink r:id="rId9" w:history="1">
              <w:r w:rsidRPr="00D40D35">
                <w:t>законом</w:t>
              </w:r>
            </w:hyperlink>
            <w:r w:rsidRPr="00D40D35">
      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по замещаемой должности федеральной гос</w:t>
            </w:r>
            <w:r w:rsidR="00E26BA3">
              <w:t xml:space="preserve">ударственной </w:t>
            </w:r>
            <w:r w:rsidR="00E26BA3">
              <w:lastRenderedPageBreak/>
              <w:t>гражданской службы</w:t>
            </w:r>
            <w:bookmarkStart w:id="0" w:name="_GoBack"/>
            <w:bookmarkEnd w:id="0"/>
            <w:r w:rsidR="006A58B1">
              <w:t>.</w:t>
            </w:r>
          </w:p>
          <w:p w:rsidR="006A58B1" w:rsidRPr="003C05B3" w:rsidRDefault="006A58B1" w:rsidP="002F399C">
            <w:pPr>
              <w:pStyle w:val="1"/>
              <w:spacing w:before="0" w:after="240"/>
              <w:ind w:firstLine="709"/>
              <w:rPr>
                <w:noProof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Default="00477A6E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98C" w:rsidRPr="00F1098C" w:rsidRDefault="00F1098C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2" w:type="dxa"/>
          </w:tcPr>
          <w:p w:rsidR="0091523B" w:rsidRPr="00C56A4C" w:rsidRDefault="00C56A4C" w:rsidP="002F399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принят на федеральную государственную гражданскую службу гражданин, если он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состоит в близком родстве или свойстве (родители, супруги, дети, братья, сестры, а также братья, сестры, родители, дети супругов и супруги детей) с федеральным государственным гражданским служащим, занимающим в органе государственной власти руководящую должность (заместитель руководителя), и если замещение должности федеральной государственной гражданской службы </w:t>
            </w:r>
            <w:r w:rsidRPr="002A43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 связано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непосредственной подчиненностью или подконтрольностью одного из них другому (заместитель руководителя не курирует данный отдел)</w:t>
            </w: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647" w:type="dxa"/>
          </w:tcPr>
          <w:p w:rsidR="00C56A4C" w:rsidRDefault="0022207B" w:rsidP="002F39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5 части 1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Федерального 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не может быть принят на гражданскую службу, а гражданский служащий не может находиться на гражданской службе,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</w:t>
            </w:r>
            <w:r w:rsidR="00C56A4C" w:rsidRPr="002A43BB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непосредственной подчиненностью или подконтрольностью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другому.</w:t>
            </w:r>
          </w:p>
          <w:p w:rsidR="0091523B" w:rsidRPr="00C56A4C" w:rsidRDefault="00C56A4C" w:rsidP="002F399C">
            <w:pPr>
              <w:widowControl w:val="0"/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Однако, при исполнении данным заместителем руководителя обязанност</w:t>
            </w:r>
            <w:r w:rsidR="002F399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территориального органа, в случае отсутствия последнего, может возникнуть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заинтересо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ванность (прямая или косвенная), где услеживается прямое подчинение гражданского служащего</w:t>
            </w:r>
            <w:r w:rsidR="002F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указанному лицу. Данная ситуация может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повлиять на надлежащее исполнение им должностных обязанностей</w:t>
            </w:r>
            <w:r w:rsidR="002F39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возникнуть противоречие между личной заинтересованностью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заций, общества или государства</w:t>
            </w:r>
            <w:r w:rsidR="002F39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77A6E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E67FD3" w:rsidRDefault="00E67FD3" w:rsidP="002F399C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В каких случаях у бывшего государственного служащего, замещавшего должность, включенную в </w:t>
            </w: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перечень должностей, установленный нормативными актами Российской Федерации, не возникает обязанность обращаться за согласием в комиссию по соблюдению требований к служебному поведению и урегулированию конфликта интересов, в соответствии с Федеральным законом</w:t>
            </w:r>
            <w:r w:rsidR="002F399C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25 декабря 2008 г. № 273-ФЗ </w:t>
            </w: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«О противодействии коррупции»</w:t>
            </w:r>
            <w:r w:rsidR="002F399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647" w:type="dxa"/>
          </w:tcPr>
          <w:p w:rsidR="0091523B" w:rsidRDefault="00DD7509" w:rsidP="002F39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соответствии с частью 1 статьи 12 Федерального закона от 25 декабря 2008 г.</w:t>
            </w:r>
            <w:r w:rsidR="002F399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273-ФЗ «О противодействии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коррупции» г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</w:t>
            </w:r>
            <w:r w:rsidR="002F399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</w:p>
          <w:p w:rsidR="004040DD" w:rsidRDefault="002F399C" w:rsidP="009110D0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442C8C">
              <w:rPr>
                <w:rFonts w:ascii="Times New Roman CYR" w:hAnsi="Times New Roman CYR" w:cs="Times New Roman CYR"/>
                <w:i/>
                <w:sz w:val="28"/>
                <w:szCs w:val="28"/>
              </w:rPr>
              <w:t>Таким образом,</w:t>
            </w:r>
            <w:r w:rsidR="009825AA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</w:t>
            </w:r>
            <w:r w:rsidR="009825AA" w:rsidRPr="007F687D">
              <w:rPr>
                <w:rFonts w:ascii="Times New Roman CYR" w:eastAsia="Times New Roman" w:hAnsi="Times New Roman CYR" w:cs="Times New Roman CYR"/>
                <w:bCs/>
                <w:i/>
                <w:sz w:val="28"/>
                <w:szCs w:val="28"/>
                <w:lang w:eastAsia="ru-RU"/>
              </w:rPr>
              <w:t xml:space="preserve">в случае если </w:t>
            </w:r>
            <w:r w:rsidR="009825AA">
              <w:rPr>
                <w:rFonts w:ascii="Times New Roman CYR" w:hAnsi="Times New Roman CYR" w:cs="Times New Roman CYR"/>
                <w:i/>
                <w:sz w:val="28"/>
                <w:szCs w:val="28"/>
              </w:rPr>
              <w:t>бывший государственный служащий</w:t>
            </w:r>
            <w:r w:rsidR="009825AA" w:rsidRPr="007F687D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замещает на условиях трудового договора должности в организации </w:t>
            </w:r>
            <w:r w:rsidR="009825AA" w:rsidRPr="009110D0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по истечении двух</w:t>
            </w:r>
            <w:r w:rsidR="009825AA" w:rsidRPr="007F687D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лет после у</w:t>
            </w:r>
            <w:r w:rsidR="009110D0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вольнения с государственной </w:t>
            </w:r>
            <w:r w:rsidR="009825AA" w:rsidRPr="007F687D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службы и (или) выполняет в данной организации работы (оказывает данной организации услуги) в течение месяца стоимостью </w:t>
            </w:r>
            <w:r w:rsidR="009825AA" w:rsidRPr="009110D0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до ста тысяч рублей</w:t>
            </w:r>
            <w:r w:rsidR="009825AA" w:rsidRPr="007F687D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не входили в должностные (служебные) обязанности государственного или муниципального </w:t>
            </w:r>
            <w:r w:rsidR="009825AA" w:rsidRPr="007F687D">
              <w:rPr>
                <w:rFonts w:ascii="Times New Roman CYR" w:hAnsi="Times New Roman CYR" w:cs="Times New Roman CYR"/>
                <w:i/>
                <w:sz w:val="28"/>
                <w:szCs w:val="28"/>
              </w:rPr>
              <w:lastRenderedPageBreak/>
              <w:t>служащего</w:t>
            </w:r>
            <w:r w:rsidR="009825AA">
              <w:rPr>
                <w:rFonts w:ascii="Times New Roman CYR" w:hAnsi="Times New Roman CYR" w:cs="Times New Roman CYR"/>
                <w:i/>
                <w:sz w:val="28"/>
                <w:szCs w:val="28"/>
              </w:rPr>
              <w:t>,</w:t>
            </w:r>
            <w:r w:rsidRPr="007F687D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</w:t>
            </w:r>
            <w:r w:rsidR="00D70D60" w:rsidRPr="007F687D">
              <w:rPr>
                <w:rFonts w:ascii="Times New Roman CYR" w:eastAsia="Times New Roman" w:hAnsi="Times New Roman CYR" w:cs="Times New Roman CYR"/>
                <w:bCs/>
                <w:i/>
                <w:sz w:val="28"/>
                <w:szCs w:val="28"/>
                <w:lang w:eastAsia="ru-RU"/>
              </w:rPr>
              <w:t>обязанность обращаться за согласием в комиссию по соблюдению требований к служебному поведению и урегулированию конфликта интересов не возникает</w:t>
            </w:r>
            <w:r w:rsidR="00D70D60" w:rsidRPr="007F687D">
              <w:rPr>
                <w:rFonts w:ascii="Times New Roman CYR" w:hAnsi="Times New Roman CYR" w:cs="Times New Roman CYR"/>
                <w:i/>
                <w:sz w:val="28"/>
                <w:szCs w:val="28"/>
              </w:rPr>
              <w:t>.</w:t>
            </w:r>
          </w:p>
          <w:p w:rsidR="006A58B1" w:rsidRPr="007F687D" w:rsidRDefault="006A58B1" w:rsidP="009110D0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77A6E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5D6B48" w:rsidRPr="00A52DD7" w:rsidRDefault="005D6B48" w:rsidP="00F97B90">
            <w:pPr>
              <w:autoSpaceDE w:val="0"/>
              <w:autoSpaceDN w:val="0"/>
              <w:adjustRightInd w:val="0"/>
              <w:ind w:firstLine="7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8 Федерального </w:t>
            </w:r>
            <w:r w:rsidR="001B3D61" w:rsidRPr="00A5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 w:rsidR="009C78FE" w:rsidRPr="00A5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декабря 2008 г.</w:t>
            </w:r>
            <w:r w:rsidR="009C78FE" w:rsidRPr="00A5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273-ФЗ «О противодействии коррупции» невыполнение </w:t>
            </w:r>
            <w:r w:rsidR="00F02A75" w:rsidRPr="00A52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гражданами, претендующими на замещение должностей государственной службы и государственными гражданскими служащими обязанности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(супруг) и несовершеннолетних детей, </w:t>
            </w:r>
            <w:r w:rsidRPr="00A5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правонарушением, влекущим освобождение его от замещаемой должности, увольнение его с государственной службы. </w:t>
            </w:r>
          </w:p>
          <w:p w:rsidR="005D6B48" w:rsidRPr="00227F2D" w:rsidRDefault="005D6B48" w:rsidP="00F97B90">
            <w:pPr>
              <w:ind w:firstLine="7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Аналогичная безапелляционная норма, которая не предусматривает наличие каких-либо уважительных причин, содержится и в Федеральном законе от </w:t>
            </w:r>
            <w:r w:rsidR="009C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 г</w:t>
            </w:r>
            <w:r w:rsidR="009C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79-ФЗ </w:t>
            </w:r>
            <w:r w:rsidR="009C78FE" w:rsidRPr="009C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государственной гражданской службе Российской Федерации»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статьях 20 и 59.2. </w:t>
            </w:r>
          </w:p>
          <w:p w:rsidR="005D6B48" w:rsidRPr="00227F2D" w:rsidRDefault="005D6B48" w:rsidP="009C7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вышесказанным, если федеральный государственный служащий, замещающий должность, замещение которой предусматривает предоставление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доходах, об имуществе и обязательствах имущественного характера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30 апреля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предоставил данные сведения, то он подлежит увольнению.</w:t>
            </w:r>
          </w:p>
          <w:p w:rsidR="0091523B" w:rsidRDefault="005D6B48" w:rsidP="009C7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быть в случае, если федеральный государственный </w:t>
            </w:r>
            <w:r w:rsidR="00CF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служащий, замещающий должность, замещение которой предусматривает предоставление сведений о доходах, в период с 1 января по 30 апреля находился (находится) в отпуске без содержания, продолжительность которого может быть до одного года, в длительной командировке или на больничном и у него физически отсутствовала (отсутствует) возможность предоставления данных сведений?</w:t>
            </w:r>
          </w:p>
          <w:p w:rsidR="009C78FE" w:rsidRPr="005D6B48" w:rsidRDefault="009C78FE" w:rsidP="009C7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7" w:type="dxa"/>
          </w:tcPr>
          <w:p w:rsidR="0097762D" w:rsidRPr="0097762D" w:rsidRDefault="0097762D" w:rsidP="002F39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0F30D2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предусматривается освобождение государственного служащего от исполнения обязанности представлять сведения о доходах, расходах, об имуществе и обязательствах имущественного характера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      </w:r>
          </w:p>
          <w:p w:rsidR="0097762D" w:rsidRDefault="0097762D" w:rsidP="002F39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представить сведения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служащему рекомендуется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их                в государственный орган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3B" w:rsidRDefault="005D6B48" w:rsidP="002F39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Взыскания, предусмотренные </w:t>
            </w:r>
            <w:r w:rsidRPr="00C47B63">
              <w:rPr>
                <w:rFonts w:ascii="Times New Roman" w:hAnsi="Times New Roman" w:cs="Times New Roman"/>
                <w:sz w:val="28"/>
                <w:szCs w:val="28"/>
              </w:rPr>
              <w:t>статьями 59.1 и 59.2</w:t>
            </w:r>
            <w:r w:rsidR="009C78FE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считая периода временной нетрудоспособности гражданского служащего, пребывания его в отпуске, других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случаев его отсутствия на службе по уважительным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позднее шести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информации о совершени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>и коррупционного правонарушения</w:t>
            </w:r>
            <w:r w:rsidR="002F3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99C" w:rsidRPr="0091523B" w:rsidRDefault="002F399C" w:rsidP="00CF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E8" w:rsidRPr="0091523B" w:rsidTr="003E04DB">
        <w:tc>
          <w:tcPr>
            <w:tcW w:w="683" w:type="dxa"/>
          </w:tcPr>
          <w:p w:rsidR="004639E8" w:rsidRDefault="00477A6E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Default="004639E8" w:rsidP="000B34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ли отражаться </w:t>
            </w:r>
            <w:r w:rsid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2 «Сведения о расходах» справки о доходах, расходах, об имуществе и обязательствах имущественного характера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имущество, полученное в порядке наследования? Если да, то как определить его стоимость или по какой стоимости его оценивать?</w:t>
            </w:r>
          </w:p>
          <w:p w:rsidR="000B34B8" w:rsidRPr="00575916" w:rsidRDefault="000B34B8" w:rsidP="000B34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7" w:type="dxa"/>
          </w:tcPr>
          <w:p w:rsidR="004639E8" w:rsidRPr="004639E8" w:rsidRDefault="008413C1" w:rsidP="000B34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порядке наследования</w:t>
            </w:r>
            <w:r w:rsidR="000B3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</w:t>
            </w:r>
            <w:r w:rsidR="009C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подразделе 3.1 «Недвижимое имущество» или подразделе 3.2 «Транспортные средства» раздела 3 «Сведения об имуществе» </w:t>
            </w:r>
            <w:r w:rsidRP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  <w:r w:rsidR="009C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77A6E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0B34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указывать наличие счета в кредитном учреждении, если на счете на отчетную дату не было средств?</w:t>
            </w:r>
          </w:p>
        </w:tc>
        <w:tc>
          <w:tcPr>
            <w:tcW w:w="7647" w:type="dxa"/>
          </w:tcPr>
          <w:p w:rsidR="0091523B" w:rsidRDefault="00D276B7" w:rsidP="000B34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разделе 4 «Сведения о счетах в банках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доходах, расходах, об имуществе и обязательствах имущественного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отражается информация обо всех счетах, открытых в банках и иных кредитных организациях по состоянию на отчетную дату, вне зависимости от цели их открытия и использования, в том числе</w:t>
            </w:r>
            <w:r w:rsidR="009C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счета с нулевым остатком на 31 декабря отчетного года</w:t>
            </w:r>
            <w:r w:rsidR="009C7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4B8" w:rsidRPr="0091523B" w:rsidRDefault="000B34B8" w:rsidP="000B34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77A6E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0B34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ли включать страховые выплаты (возмещение ущерба при ДТП) по ОСАГО или КАСКО?</w:t>
            </w:r>
          </w:p>
        </w:tc>
        <w:tc>
          <w:tcPr>
            <w:tcW w:w="7647" w:type="dxa"/>
          </w:tcPr>
          <w:p w:rsidR="0091523B" w:rsidRDefault="00946205" w:rsidP="000B34B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6B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строке</w:t>
            </w:r>
            <w:r w:rsidR="00140B3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«Иные доходы (указать вид дохода)»</w:t>
            </w:r>
            <w:r w:rsidR="00140B3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справки о доходах, </w:t>
            </w:r>
            <w:r w:rsidR="00651C3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доходы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полученные в результате</w:t>
            </w:r>
            <w:r w:rsidR="00140B3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страховых выплат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наступлении страхового случая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Сюда же попадает случай возмещение ущерба при ДТП по ОСАГО или КАСКО</w:t>
            </w:r>
            <w:r w:rsidR="009C78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34B8" w:rsidRPr="0091523B" w:rsidRDefault="000B34B8" w:rsidP="000B34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83C" w:rsidRDefault="00DF783C" w:rsidP="009D693F">
      <w:pPr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D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</w:p>
    <w:p w:rsidR="004040DD" w:rsidRPr="005012D7" w:rsidRDefault="004040DD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D7" w:rsidRDefault="005012D7" w:rsidP="000B3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Коррупция:</w:t>
      </w:r>
    </w:p>
    <w:p w:rsidR="005012D7" w:rsidRDefault="005012D7" w:rsidP="000B3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012D7" w:rsidRDefault="005012D7" w:rsidP="000B3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5012D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                               </w:t>
      </w:r>
    </w:p>
    <w:p w:rsidR="00C268AB" w:rsidRDefault="005012D7" w:rsidP="000B3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68AB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  <w:r w:rsidR="000B34B8">
        <w:rPr>
          <w:rFonts w:ascii="Times New Roman" w:hAnsi="Times New Roman" w:cs="Times New Roman"/>
          <w:sz w:val="28"/>
          <w:szCs w:val="28"/>
        </w:rPr>
        <w:t>–</w:t>
      </w:r>
      <w:r w:rsidR="00C268AB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268AB" w:rsidRDefault="00C268AB" w:rsidP="000B3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68AB" w:rsidRDefault="00C268AB" w:rsidP="000B3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68AB" w:rsidRDefault="00C268AB" w:rsidP="000B3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3E007B" w:rsidRDefault="00C268AB" w:rsidP="000B34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07B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0B34B8">
        <w:rPr>
          <w:rFonts w:ascii="Times New Roman" w:hAnsi="Times New Roman" w:cs="Times New Roman"/>
          <w:sz w:val="28"/>
          <w:szCs w:val="28"/>
        </w:rPr>
        <w:t>–</w:t>
      </w:r>
      <w:r w:rsidR="003E007B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C268AB" w:rsidRDefault="00C268AB" w:rsidP="00C2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2D7" w:rsidSect="00DF783C">
      <w:head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20" w:rsidRDefault="008E3620" w:rsidP="00DF783C">
      <w:pPr>
        <w:spacing w:after="0" w:line="240" w:lineRule="auto"/>
      </w:pPr>
      <w:r>
        <w:separator/>
      </w:r>
    </w:p>
  </w:endnote>
  <w:endnote w:type="continuationSeparator" w:id="0">
    <w:p w:rsidR="008E3620" w:rsidRDefault="008E3620" w:rsidP="00D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20" w:rsidRDefault="008E3620" w:rsidP="00DF783C">
      <w:pPr>
        <w:spacing w:after="0" w:line="240" w:lineRule="auto"/>
      </w:pPr>
      <w:r>
        <w:separator/>
      </w:r>
    </w:p>
  </w:footnote>
  <w:footnote w:type="continuationSeparator" w:id="0">
    <w:p w:rsidR="008E3620" w:rsidRDefault="008E3620" w:rsidP="00D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83C" w:rsidRPr="00DF783C" w:rsidRDefault="00F057C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783C" w:rsidRPr="00DF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8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783C" w:rsidRDefault="00DF78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FE"/>
    <w:rsid w:val="0009654E"/>
    <w:rsid w:val="000B34B8"/>
    <w:rsid w:val="000C4F12"/>
    <w:rsid w:val="000F30D2"/>
    <w:rsid w:val="00134711"/>
    <w:rsid w:val="00140B3B"/>
    <w:rsid w:val="00143B78"/>
    <w:rsid w:val="00154452"/>
    <w:rsid w:val="0015791A"/>
    <w:rsid w:val="001B1E61"/>
    <w:rsid w:val="001B3D61"/>
    <w:rsid w:val="001C3AD4"/>
    <w:rsid w:val="0022207B"/>
    <w:rsid w:val="0023412F"/>
    <w:rsid w:val="00261F6F"/>
    <w:rsid w:val="0027353A"/>
    <w:rsid w:val="00282EEF"/>
    <w:rsid w:val="0028767B"/>
    <w:rsid w:val="002F399C"/>
    <w:rsid w:val="00304357"/>
    <w:rsid w:val="00325B4C"/>
    <w:rsid w:val="00332D4B"/>
    <w:rsid w:val="00336DF1"/>
    <w:rsid w:val="00340DB7"/>
    <w:rsid w:val="003665B5"/>
    <w:rsid w:val="003A6B6A"/>
    <w:rsid w:val="003C05B3"/>
    <w:rsid w:val="003E007B"/>
    <w:rsid w:val="003E04DB"/>
    <w:rsid w:val="003E6D13"/>
    <w:rsid w:val="003F24EF"/>
    <w:rsid w:val="004040DD"/>
    <w:rsid w:val="004271FE"/>
    <w:rsid w:val="00442C8C"/>
    <w:rsid w:val="004639E8"/>
    <w:rsid w:val="00477A6E"/>
    <w:rsid w:val="004D61E2"/>
    <w:rsid w:val="004E158E"/>
    <w:rsid w:val="004E79D6"/>
    <w:rsid w:val="005012D7"/>
    <w:rsid w:val="0052138D"/>
    <w:rsid w:val="00522FCC"/>
    <w:rsid w:val="005A544A"/>
    <w:rsid w:val="005B74F9"/>
    <w:rsid w:val="005C73D2"/>
    <w:rsid w:val="005D36C5"/>
    <w:rsid w:val="005D6B48"/>
    <w:rsid w:val="005E799B"/>
    <w:rsid w:val="00602184"/>
    <w:rsid w:val="00651C31"/>
    <w:rsid w:val="00674FCF"/>
    <w:rsid w:val="006820FB"/>
    <w:rsid w:val="00696E8F"/>
    <w:rsid w:val="006A58B1"/>
    <w:rsid w:val="006B3B46"/>
    <w:rsid w:val="006B776C"/>
    <w:rsid w:val="006C118E"/>
    <w:rsid w:val="00700BB8"/>
    <w:rsid w:val="00794F91"/>
    <w:rsid w:val="007F687D"/>
    <w:rsid w:val="00813F08"/>
    <w:rsid w:val="0083335A"/>
    <w:rsid w:val="008413C1"/>
    <w:rsid w:val="0084185D"/>
    <w:rsid w:val="0084568F"/>
    <w:rsid w:val="008E3620"/>
    <w:rsid w:val="008F01D5"/>
    <w:rsid w:val="009110D0"/>
    <w:rsid w:val="0091523B"/>
    <w:rsid w:val="0092603F"/>
    <w:rsid w:val="00946205"/>
    <w:rsid w:val="0094700A"/>
    <w:rsid w:val="00953114"/>
    <w:rsid w:val="00971C88"/>
    <w:rsid w:val="0097762D"/>
    <w:rsid w:val="009825AA"/>
    <w:rsid w:val="009A1F9B"/>
    <w:rsid w:val="009C78FE"/>
    <w:rsid w:val="009D693F"/>
    <w:rsid w:val="009F240E"/>
    <w:rsid w:val="00A16564"/>
    <w:rsid w:val="00A31FC0"/>
    <w:rsid w:val="00A52DD7"/>
    <w:rsid w:val="00A61684"/>
    <w:rsid w:val="00AA58B5"/>
    <w:rsid w:val="00AD4CB1"/>
    <w:rsid w:val="00B73E85"/>
    <w:rsid w:val="00BE4F38"/>
    <w:rsid w:val="00C268AB"/>
    <w:rsid w:val="00C4319A"/>
    <w:rsid w:val="00C56A4C"/>
    <w:rsid w:val="00C573CC"/>
    <w:rsid w:val="00C82016"/>
    <w:rsid w:val="00CC3F07"/>
    <w:rsid w:val="00CC5280"/>
    <w:rsid w:val="00CF40F4"/>
    <w:rsid w:val="00CF6CD1"/>
    <w:rsid w:val="00CF790C"/>
    <w:rsid w:val="00D12ACB"/>
    <w:rsid w:val="00D276B7"/>
    <w:rsid w:val="00D32B99"/>
    <w:rsid w:val="00D62E81"/>
    <w:rsid w:val="00D70D60"/>
    <w:rsid w:val="00D71A27"/>
    <w:rsid w:val="00DD7509"/>
    <w:rsid w:val="00DE44D5"/>
    <w:rsid w:val="00DF783C"/>
    <w:rsid w:val="00E21DBE"/>
    <w:rsid w:val="00E2307D"/>
    <w:rsid w:val="00E26BA3"/>
    <w:rsid w:val="00E67FD3"/>
    <w:rsid w:val="00E71C9F"/>
    <w:rsid w:val="00EC5FD0"/>
    <w:rsid w:val="00F02A75"/>
    <w:rsid w:val="00F057C6"/>
    <w:rsid w:val="00F1098C"/>
    <w:rsid w:val="00F31D85"/>
    <w:rsid w:val="00F80498"/>
    <w:rsid w:val="00F97B90"/>
    <w:rsid w:val="00FE2FF8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4464B7EAE2A4DCDEB418B43547A59941F8CFE6H7F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45627E79241B93D5AB77ACFE48FF1E442916B343439CA4CD9A8643CBCC0BB328EBA528FDAF8D0W9C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2F9E34184E01376DF4464B7EAE2A4DCDEB418B43547A59941F8CFE6H7F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EA2F-CDDF-45BE-A90C-04F5C89A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p26_PusvashkinAV</cp:lastModifiedBy>
  <cp:revision>25</cp:revision>
  <cp:lastPrinted>2018-06-29T09:58:00Z</cp:lastPrinted>
  <dcterms:created xsi:type="dcterms:W3CDTF">2018-06-28T10:59:00Z</dcterms:created>
  <dcterms:modified xsi:type="dcterms:W3CDTF">2021-11-29T13:44:00Z</dcterms:modified>
</cp:coreProperties>
</file>